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E1" w:rsidRPr="006E6BBD" w:rsidRDefault="00696117" w:rsidP="006E6BBD">
      <w:pPr>
        <w:spacing w:after="0" w:line="240" w:lineRule="auto"/>
        <w:jc w:val="center"/>
        <w:rPr>
          <w:b/>
          <w:u w:val="single"/>
        </w:rPr>
      </w:pPr>
      <w:r w:rsidRPr="006E6BBD">
        <w:rPr>
          <w:b/>
          <w:u w:val="single"/>
        </w:rPr>
        <w:t>FEMA Public Assistance</w:t>
      </w:r>
    </w:p>
    <w:p w:rsidR="00696117" w:rsidRDefault="00696117" w:rsidP="00B80676">
      <w:pPr>
        <w:spacing w:after="0" w:line="240" w:lineRule="auto"/>
      </w:pPr>
    </w:p>
    <w:p w:rsidR="00696117" w:rsidRDefault="00696117" w:rsidP="00B80676">
      <w:pPr>
        <w:spacing w:after="0" w:line="240" w:lineRule="auto"/>
      </w:pPr>
      <w:r>
        <w:t xml:space="preserve">Patricia </w:t>
      </w:r>
      <w:proofErr w:type="spellStart"/>
      <w:r>
        <w:t>Debboli</w:t>
      </w:r>
      <w:proofErr w:type="spellEnd"/>
      <w:r>
        <w:t xml:space="preserve"> (DHSES)</w:t>
      </w:r>
    </w:p>
    <w:p w:rsidR="00696117" w:rsidRDefault="00696117" w:rsidP="00B80676">
      <w:pPr>
        <w:spacing w:after="0" w:line="240" w:lineRule="auto"/>
      </w:pPr>
      <w:hyperlink r:id="rId5" w:history="1">
        <w:r w:rsidRPr="007F27E1">
          <w:rPr>
            <w:rStyle w:val="Hyperlink"/>
          </w:rPr>
          <w:t>Patricia.debboli@dhses.ny.gov</w:t>
        </w:r>
      </w:hyperlink>
    </w:p>
    <w:p w:rsidR="006E6BBD" w:rsidRDefault="006E6BBD" w:rsidP="00B80676">
      <w:pPr>
        <w:spacing w:after="0" w:line="240" w:lineRule="auto"/>
      </w:pPr>
      <w:r>
        <w:t>518-322-4984</w:t>
      </w:r>
    </w:p>
    <w:p w:rsidR="006E6BBD" w:rsidRDefault="006E6BBD" w:rsidP="00B80676">
      <w:pPr>
        <w:spacing w:after="0" w:line="240" w:lineRule="auto"/>
      </w:pPr>
    </w:p>
    <w:p w:rsidR="00696117" w:rsidRPr="00463668" w:rsidRDefault="00696117" w:rsidP="00B80676">
      <w:pPr>
        <w:spacing w:after="0" w:line="240" w:lineRule="auto"/>
        <w:rPr>
          <w:b/>
        </w:rPr>
      </w:pPr>
      <w:r w:rsidRPr="00463668">
        <w:rPr>
          <w:b/>
        </w:rPr>
        <w:t>DR-4480 PNP RPA Packet</w:t>
      </w:r>
    </w:p>
    <w:p w:rsidR="00696117" w:rsidRDefault="00696117" w:rsidP="00B80676">
      <w:pPr>
        <w:spacing w:after="0" w:line="240" w:lineRule="auto"/>
      </w:pPr>
      <w:r>
        <w:t xml:space="preserve">NY Department of Homeland Security and Emergency Services – </w:t>
      </w:r>
      <w:r w:rsidRPr="00463668">
        <w:rPr>
          <w:b/>
        </w:rPr>
        <w:t>Recipient</w:t>
      </w:r>
      <w:r>
        <w:t xml:space="preserve"> (State Government that receives funding under the disaster declaration and disburses funding to </w:t>
      </w:r>
      <w:proofErr w:type="gramStart"/>
      <w:r>
        <w:t>approved</w:t>
      </w:r>
      <w:proofErr w:type="gramEnd"/>
      <w:r>
        <w:t xml:space="preserve"> </w:t>
      </w:r>
      <w:proofErr w:type="spellStart"/>
      <w:r>
        <w:t>subrecipients</w:t>
      </w:r>
      <w:proofErr w:type="spellEnd"/>
      <w:r>
        <w:t>)</w:t>
      </w:r>
    </w:p>
    <w:p w:rsidR="00696117" w:rsidRDefault="00696117" w:rsidP="00B80676">
      <w:pPr>
        <w:spacing w:after="0" w:line="240" w:lineRule="auto"/>
      </w:pPr>
      <w:r>
        <w:t xml:space="preserve">Non-Profit Agency – </w:t>
      </w:r>
      <w:r w:rsidRPr="00463668">
        <w:rPr>
          <w:b/>
        </w:rPr>
        <w:t>Applicant</w:t>
      </w:r>
      <w:r>
        <w:t xml:space="preserve"> (entity submitting a request for assistance under the recipient’s federal award)</w:t>
      </w:r>
    </w:p>
    <w:p w:rsidR="00B80676" w:rsidRDefault="00B80676" w:rsidP="00B80676">
      <w:pPr>
        <w:spacing w:after="0" w:line="240" w:lineRule="auto"/>
      </w:pPr>
    </w:p>
    <w:p w:rsidR="00B80676" w:rsidRPr="00463668" w:rsidRDefault="00B80676" w:rsidP="00B80676">
      <w:pPr>
        <w:spacing w:after="0" w:line="240" w:lineRule="auto"/>
        <w:rPr>
          <w:b/>
        </w:rPr>
      </w:pPr>
      <w:r w:rsidRPr="00463668">
        <w:rPr>
          <w:b/>
        </w:rPr>
        <w:t>Eligible Entities:</w:t>
      </w:r>
    </w:p>
    <w:p w:rsidR="00B80676" w:rsidRDefault="00B80676" w:rsidP="00B80676">
      <w:pPr>
        <w:spacing w:after="0" w:line="240" w:lineRule="auto"/>
      </w:pPr>
      <w:r>
        <w:t>Critical and Essential/Non-Critical Private Nonprofit Organizations</w:t>
      </w:r>
    </w:p>
    <w:p w:rsidR="00B80676" w:rsidRDefault="00B80676" w:rsidP="00B80676">
      <w:pPr>
        <w:spacing w:after="0" w:line="240" w:lineRule="auto"/>
      </w:pPr>
      <w:r>
        <w:t xml:space="preserve">Must show that you operate an eligible facility in order to be considered an </w:t>
      </w:r>
      <w:r w:rsidR="00256EFD">
        <w:t>eligible</w:t>
      </w:r>
      <w:r>
        <w:t xml:space="preserve"> applicant</w:t>
      </w:r>
    </w:p>
    <w:p w:rsidR="00B80676" w:rsidRDefault="00B80676" w:rsidP="00B80676">
      <w:pPr>
        <w:spacing w:after="0" w:line="240" w:lineRule="auto"/>
      </w:pPr>
    </w:p>
    <w:p w:rsidR="00B80676" w:rsidRPr="00463668" w:rsidRDefault="00B80676" w:rsidP="00B80676">
      <w:pPr>
        <w:spacing w:after="0" w:line="240" w:lineRule="auto"/>
        <w:rPr>
          <w:b/>
        </w:rPr>
      </w:pPr>
      <w:r w:rsidRPr="00463668">
        <w:rPr>
          <w:b/>
        </w:rPr>
        <w:t>Eligible Expenditures:</w:t>
      </w:r>
    </w:p>
    <w:p w:rsidR="00B80676" w:rsidRDefault="00B80676" w:rsidP="00463668">
      <w:pPr>
        <w:pStyle w:val="ListParagraph"/>
        <w:numPr>
          <w:ilvl w:val="0"/>
          <w:numId w:val="1"/>
        </w:numPr>
        <w:spacing w:after="0" w:line="240" w:lineRule="auto"/>
      </w:pPr>
      <w:r>
        <w:t>Activities conducted on or after January 20, 2020 can be submitted and it is open-ended.</w:t>
      </w:r>
    </w:p>
    <w:p w:rsidR="00B80676" w:rsidRDefault="00B80676" w:rsidP="004636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Reimbursement program – </w:t>
      </w:r>
      <w:r w:rsidR="00256EFD">
        <w:t>eligible</w:t>
      </w:r>
      <w:r>
        <w:t xml:space="preserve"> expenses must be a direct result of COVID-19</w:t>
      </w:r>
    </w:p>
    <w:p w:rsidR="00B80676" w:rsidRDefault="00B80676" w:rsidP="004636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Costs must be incurred within the </w:t>
      </w:r>
      <w:r w:rsidR="00256EFD">
        <w:t>approved</w:t>
      </w:r>
      <w:r>
        <w:t xml:space="preserve"> performance period (January 20 – September 19, 2020)</w:t>
      </w:r>
    </w:p>
    <w:p w:rsidR="00B80676" w:rsidRDefault="00B80676" w:rsidP="00463668">
      <w:pPr>
        <w:pStyle w:val="ListParagraph"/>
        <w:numPr>
          <w:ilvl w:val="0"/>
          <w:numId w:val="1"/>
        </w:numPr>
        <w:spacing w:after="0" w:line="240" w:lineRule="auto"/>
      </w:pPr>
      <w:r>
        <w:t>NYS has the authority to extend another 6 months</w:t>
      </w:r>
    </w:p>
    <w:p w:rsidR="00B80676" w:rsidRDefault="00B80676" w:rsidP="00B80676">
      <w:pPr>
        <w:spacing w:after="0" w:line="240" w:lineRule="auto"/>
      </w:pPr>
    </w:p>
    <w:p w:rsidR="00696117" w:rsidRPr="00463668" w:rsidRDefault="00696117" w:rsidP="00B80676">
      <w:pPr>
        <w:spacing w:after="0" w:line="240" w:lineRule="auto"/>
        <w:rPr>
          <w:b/>
        </w:rPr>
      </w:pPr>
      <w:r w:rsidRPr="00463668">
        <w:rPr>
          <w:b/>
        </w:rPr>
        <w:t>Eligible Work:</w:t>
      </w:r>
    </w:p>
    <w:p w:rsidR="00696117" w:rsidRDefault="00B80676" w:rsidP="00B80676">
      <w:pPr>
        <w:spacing w:after="0" w:line="240" w:lineRule="auto"/>
      </w:pPr>
      <w:r>
        <w:t>Only covers Emergency Protective Measures.</w:t>
      </w:r>
    </w:p>
    <w:p w:rsidR="00B80676" w:rsidRPr="00463668" w:rsidRDefault="00B80676" w:rsidP="00B80676">
      <w:pPr>
        <w:spacing w:after="0" w:line="240" w:lineRule="auto"/>
        <w:rPr>
          <w:b/>
        </w:rPr>
      </w:pPr>
      <w:r w:rsidRPr="00463668">
        <w:rPr>
          <w:b/>
        </w:rPr>
        <w:t>Work performed must be:</w:t>
      </w:r>
    </w:p>
    <w:p w:rsidR="00B80676" w:rsidRDefault="00B80676" w:rsidP="00463668">
      <w:pPr>
        <w:pStyle w:val="ListParagraph"/>
        <w:numPr>
          <w:ilvl w:val="0"/>
          <w:numId w:val="2"/>
        </w:numPr>
        <w:spacing w:after="0" w:line="240" w:lineRule="auto"/>
      </w:pPr>
      <w:r>
        <w:t>Required as a direct result of a declared emergency</w:t>
      </w:r>
    </w:p>
    <w:p w:rsidR="00B80676" w:rsidRDefault="00B80676" w:rsidP="00463668">
      <w:pPr>
        <w:pStyle w:val="ListParagraph"/>
        <w:numPr>
          <w:ilvl w:val="0"/>
          <w:numId w:val="2"/>
        </w:numPr>
        <w:spacing w:after="0" w:line="240" w:lineRule="auto"/>
      </w:pPr>
      <w:r>
        <w:t>Legal responsibility of applicant performing the work</w:t>
      </w:r>
    </w:p>
    <w:p w:rsidR="00B80676" w:rsidRDefault="00B80676" w:rsidP="004636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Located in a </w:t>
      </w:r>
      <w:r w:rsidR="00256EFD">
        <w:t>declared</w:t>
      </w:r>
      <w:r>
        <w:t xml:space="preserve"> county</w:t>
      </w:r>
    </w:p>
    <w:p w:rsidR="00B80676" w:rsidRDefault="00B80676" w:rsidP="004636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</w:t>
      </w:r>
      <w:r w:rsidR="00256EFD">
        <w:t>within</w:t>
      </w:r>
      <w:r>
        <w:t xml:space="preserve"> regulatory time frame</w:t>
      </w:r>
    </w:p>
    <w:p w:rsidR="00256EFD" w:rsidRDefault="00256EFD" w:rsidP="00B80676">
      <w:pPr>
        <w:spacing w:after="0" w:line="240" w:lineRule="auto"/>
      </w:pPr>
    </w:p>
    <w:p w:rsidR="00256EFD" w:rsidRPr="00463668" w:rsidRDefault="00256EFD" w:rsidP="00B80676">
      <w:pPr>
        <w:spacing w:after="0" w:line="240" w:lineRule="auto"/>
        <w:rPr>
          <w:b/>
        </w:rPr>
      </w:pPr>
      <w:r w:rsidRPr="00463668">
        <w:rPr>
          <w:b/>
        </w:rPr>
        <w:t>Categories of eligible work:</w:t>
      </w:r>
    </w:p>
    <w:p w:rsidR="00256EFD" w:rsidRDefault="00256EFD" w:rsidP="00463668">
      <w:pPr>
        <w:pStyle w:val="ListParagraph"/>
        <w:numPr>
          <w:ilvl w:val="0"/>
          <w:numId w:val="3"/>
        </w:numPr>
        <w:spacing w:after="0" w:line="240" w:lineRule="auto"/>
      </w:pPr>
      <w:r>
        <w:t>Purchase and Distribution of Food</w:t>
      </w:r>
    </w:p>
    <w:p w:rsidR="00256EFD" w:rsidRDefault="00256EFD" w:rsidP="00463668">
      <w:pPr>
        <w:pStyle w:val="ListParagraph"/>
        <w:numPr>
          <w:ilvl w:val="0"/>
          <w:numId w:val="3"/>
        </w:numPr>
        <w:spacing w:after="0" w:line="240" w:lineRule="auto"/>
      </w:pPr>
      <w:r>
        <w:t>Employee overtime as long as performing eligible work</w:t>
      </w:r>
    </w:p>
    <w:p w:rsidR="00256EFD" w:rsidRDefault="00463668" w:rsidP="00463668">
      <w:pPr>
        <w:pStyle w:val="ListParagraph"/>
        <w:numPr>
          <w:ilvl w:val="0"/>
          <w:numId w:val="3"/>
        </w:numPr>
        <w:spacing w:after="0" w:line="240" w:lineRule="auto"/>
      </w:pPr>
      <w:r>
        <w:t>Temporary</w:t>
      </w:r>
      <w:r w:rsidR="00256EFD">
        <w:t xml:space="preserve"> emp</w:t>
      </w:r>
      <w:r>
        <w:t>l</w:t>
      </w:r>
      <w:r w:rsidR="00256EFD">
        <w:t>oyees – regular and overtime costs are eligible</w:t>
      </w:r>
    </w:p>
    <w:p w:rsidR="00256EFD" w:rsidRDefault="00463668" w:rsidP="00463668">
      <w:pPr>
        <w:pStyle w:val="ListParagraph"/>
        <w:numPr>
          <w:ilvl w:val="0"/>
          <w:numId w:val="3"/>
        </w:numPr>
        <w:spacing w:after="0" w:line="240" w:lineRule="auto"/>
      </w:pPr>
      <w:r>
        <w:t>Equipment</w:t>
      </w:r>
      <w:r w:rsidR="00256EFD">
        <w:t xml:space="preserve"> costs (owned, leased or purchased) for necessary use during COVID-19</w:t>
      </w:r>
      <w:r w:rsidR="006E6BBD">
        <w:t xml:space="preserve"> (reimbursement based on local FEMA-established rates)</w:t>
      </w:r>
    </w:p>
    <w:p w:rsidR="006E6BBD" w:rsidRDefault="006E6BBD" w:rsidP="00463668">
      <w:pPr>
        <w:pStyle w:val="ListParagraph"/>
        <w:numPr>
          <w:ilvl w:val="0"/>
          <w:numId w:val="3"/>
        </w:numPr>
        <w:spacing w:after="0" w:line="240" w:lineRule="auto"/>
      </w:pPr>
      <w:r>
        <w:t>PPE that you either use from your stock or purchase for use in this event</w:t>
      </w:r>
    </w:p>
    <w:p w:rsidR="00256EFD" w:rsidRDefault="00256EFD" w:rsidP="00B80676">
      <w:pPr>
        <w:spacing w:after="0" w:line="240" w:lineRule="auto"/>
      </w:pPr>
    </w:p>
    <w:p w:rsidR="00B80676" w:rsidRPr="00463668" w:rsidRDefault="00B80676" w:rsidP="00B80676">
      <w:pPr>
        <w:spacing w:after="0" w:line="240" w:lineRule="auto"/>
        <w:rPr>
          <w:b/>
        </w:rPr>
      </w:pPr>
      <w:r w:rsidRPr="00463668">
        <w:rPr>
          <w:b/>
        </w:rPr>
        <w:t>Where:</w:t>
      </w:r>
    </w:p>
    <w:p w:rsidR="00B80676" w:rsidRDefault="00B80676" w:rsidP="00B80676">
      <w:pPr>
        <w:spacing w:after="0" w:line="240" w:lineRule="auto"/>
      </w:pPr>
      <w:r>
        <w:t>All 62 counties in NYS</w:t>
      </w:r>
    </w:p>
    <w:p w:rsidR="00B80676" w:rsidRDefault="00B80676" w:rsidP="00B80676">
      <w:pPr>
        <w:spacing w:after="0" w:line="240" w:lineRule="auto"/>
      </w:pPr>
    </w:p>
    <w:p w:rsidR="00696117" w:rsidRPr="00463668" w:rsidRDefault="00696117" w:rsidP="00B80676">
      <w:pPr>
        <w:spacing w:after="0" w:line="240" w:lineRule="auto"/>
        <w:rPr>
          <w:b/>
        </w:rPr>
      </w:pPr>
      <w:r w:rsidRPr="00463668">
        <w:rPr>
          <w:b/>
        </w:rPr>
        <w:t>Cost:</w:t>
      </w:r>
    </w:p>
    <w:p w:rsidR="00696117" w:rsidRDefault="00696117" w:rsidP="00B80676">
      <w:pPr>
        <w:spacing w:after="0" w:line="240" w:lineRule="auto"/>
      </w:pPr>
      <w:r>
        <w:t xml:space="preserve">Funding must be tied directly to eligible work, and must be adequately documented, necessary and reasonable.  </w:t>
      </w:r>
      <w:r w:rsidR="00256EFD">
        <w:t>Eligible</w:t>
      </w:r>
      <w:r>
        <w:t xml:space="preserve"> costs include labor, </w:t>
      </w:r>
      <w:r w:rsidR="00256EFD">
        <w:t>equipment</w:t>
      </w:r>
      <w:r>
        <w:t xml:space="preserve">, materials, contractor work, as well as direct and </w:t>
      </w:r>
      <w:r w:rsidR="00256EFD">
        <w:t>indirect</w:t>
      </w:r>
      <w:r>
        <w:t xml:space="preserve"> administrative costs.</w:t>
      </w:r>
    </w:p>
    <w:p w:rsidR="00696117" w:rsidRDefault="00696117" w:rsidP="00B80676">
      <w:pPr>
        <w:spacing w:after="0" w:line="240" w:lineRule="auto"/>
      </w:pPr>
    </w:p>
    <w:p w:rsidR="00B80676" w:rsidRDefault="00B80676" w:rsidP="00B80676">
      <w:pPr>
        <w:spacing w:after="0" w:line="240" w:lineRule="auto"/>
      </w:pPr>
    </w:p>
    <w:p w:rsidR="00696117" w:rsidRDefault="00696117" w:rsidP="00B80676">
      <w:pPr>
        <w:spacing w:after="0" w:line="240" w:lineRule="auto"/>
      </w:pPr>
      <w:r w:rsidRPr="00463668">
        <w:rPr>
          <w:b/>
        </w:rPr>
        <w:t>Cost share</w:t>
      </w:r>
      <w:r>
        <w:t xml:space="preserve">:  federal share is not less than 75% of the </w:t>
      </w:r>
      <w:r w:rsidR="00256EFD">
        <w:t>eligible</w:t>
      </w:r>
      <w:r>
        <w:t xml:space="preserve"> costs.  The Recipient determines how the non-federal share (up to 25%) is split with the </w:t>
      </w:r>
      <w:proofErr w:type="spellStart"/>
      <w:r>
        <w:t>subrecipient</w:t>
      </w:r>
      <w:proofErr w:type="spellEnd"/>
      <w:r>
        <w:t>.</w:t>
      </w:r>
    </w:p>
    <w:p w:rsidR="006E6BBD" w:rsidRDefault="006E6BBD" w:rsidP="00B80676">
      <w:pPr>
        <w:spacing w:after="0" w:line="240" w:lineRule="auto"/>
      </w:pPr>
      <w:r>
        <w:t>Donated resources can be used to offset the local cost share of emergency work</w:t>
      </w:r>
    </w:p>
    <w:p w:rsidR="006E6BBD" w:rsidRDefault="006E6BBD" w:rsidP="00B80676">
      <w:pPr>
        <w:spacing w:after="0" w:line="240" w:lineRule="auto"/>
      </w:pPr>
    </w:p>
    <w:p w:rsidR="00696117" w:rsidRDefault="00696117" w:rsidP="00B80676">
      <w:pPr>
        <w:spacing w:after="0" w:line="240" w:lineRule="auto"/>
      </w:pPr>
      <w:r>
        <w:t xml:space="preserve">Applicants may not duplicate benefits with insurance and must comply with Environmental, Historic Preservation, and Floodplain Management </w:t>
      </w:r>
      <w:r w:rsidR="00256EFD">
        <w:t>allows</w:t>
      </w:r>
      <w:r>
        <w:t xml:space="preserve"> as part of </w:t>
      </w:r>
      <w:r w:rsidR="00256EFD">
        <w:t>edibility</w:t>
      </w:r>
      <w:r>
        <w:t xml:space="preserve"> conditions.  Procurement standards in the use of contracts for acquiring disaster-related goods and services must meet certain guidelines in order to receive funding.</w:t>
      </w:r>
    </w:p>
    <w:p w:rsidR="00696117" w:rsidRDefault="00696117" w:rsidP="00B80676">
      <w:pPr>
        <w:spacing w:after="0" w:line="240" w:lineRule="auto"/>
      </w:pPr>
    </w:p>
    <w:p w:rsidR="006E6BBD" w:rsidRPr="00463668" w:rsidRDefault="006E6BBD" w:rsidP="00B80676">
      <w:pPr>
        <w:spacing w:after="0" w:line="240" w:lineRule="auto"/>
        <w:rPr>
          <w:b/>
        </w:rPr>
      </w:pPr>
      <w:r w:rsidRPr="00463668">
        <w:rPr>
          <w:b/>
        </w:rPr>
        <w:t>Procurement:</w:t>
      </w:r>
    </w:p>
    <w:p w:rsidR="006E6BBD" w:rsidRDefault="006E6BBD" w:rsidP="00463668">
      <w:pPr>
        <w:pStyle w:val="ListParagraph"/>
        <w:numPr>
          <w:ilvl w:val="0"/>
          <w:numId w:val="4"/>
        </w:numPr>
        <w:spacing w:after="0" w:line="240" w:lineRule="auto"/>
      </w:pPr>
      <w:r>
        <w:t>Applicants must comply with all State, Local, and Federal procurement requirements</w:t>
      </w:r>
    </w:p>
    <w:p w:rsidR="0075304F" w:rsidRDefault="0075304F" w:rsidP="0046366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Non-state entities may sole-source </w:t>
      </w:r>
      <w:r w:rsidR="00A628A6">
        <w:t>under the emergency and exigency exception</w:t>
      </w:r>
    </w:p>
    <w:p w:rsidR="00A628A6" w:rsidRDefault="00A628A6" w:rsidP="00463668">
      <w:pPr>
        <w:pStyle w:val="ListParagraph"/>
        <w:numPr>
          <w:ilvl w:val="0"/>
          <w:numId w:val="4"/>
        </w:numPr>
        <w:spacing w:after="0" w:line="240" w:lineRule="auto"/>
      </w:pPr>
      <w:r>
        <w:t>Document and provide justification for the use of the exemption</w:t>
      </w:r>
    </w:p>
    <w:p w:rsidR="00A628A6" w:rsidRDefault="00A628A6" w:rsidP="00463668">
      <w:pPr>
        <w:pStyle w:val="ListParagraph"/>
        <w:numPr>
          <w:ilvl w:val="0"/>
          <w:numId w:val="4"/>
        </w:numPr>
        <w:spacing w:after="0" w:line="240" w:lineRule="auto"/>
      </w:pPr>
      <w:r>
        <w:t>Conduct a cost or price analysis if applicable</w:t>
      </w:r>
    </w:p>
    <w:p w:rsidR="00A628A6" w:rsidRDefault="00A628A6" w:rsidP="00463668">
      <w:pPr>
        <w:pStyle w:val="ListParagraph"/>
        <w:numPr>
          <w:ilvl w:val="0"/>
          <w:numId w:val="4"/>
        </w:numPr>
        <w:spacing w:after="0" w:line="240" w:lineRule="auto"/>
      </w:pPr>
      <w:r>
        <w:t>Follow bonding requirements if applicable</w:t>
      </w:r>
    </w:p>
    <w:p w:rsidR="0075304F" w:rsidRDefault="0075304F" w:rsidP="00B80676">
      <w:pPr>
        <w:spacing w:after="0" w:line="240" w:lineRule="auto"/>
      </w:pPr>
    </w:p>
    <w:p w:rsidR="002171B7" w:rsidRDefault="002171B7" w:rsidP="00B80676">
      <w:pPr>
        <w:spacing w:after="0" w:line="240" w:lineRule="auto"/>
      </w:pPr>
      <w:r>
        <w:t>Full Procurement Instructions:</w:t>
      </w:r>
      <w:bookmarkStart w:id="0" w:name="_GoBack"/>
      <w:bookmarkEnd w:id="0"/>
    </w:p>
    <w:p w:rsidR="006E6BBD" w:rsidRDefault="00A628A6" w:rsidP="00B80676">
      <w:pPr>
        <w:spacing w:after="0" w:line="240" w:lineRule="auto"/>
      </w:pPr>
      <w:hyperlink r:id="rId6" w:history="1">
        <w:r w:rsidRPr="007F27E1">
          <w:rPr>
            <w:rStyle w:val="Hyperlink"/>
          </w:rPr>
          <w:t>https://www.youtube.com/watch?v=SdlNKNvu_uw&amp;feature=youtu.be</w:t>
        </w:r>
      </w:hyperlink>
    </w:p>
    <w:p w:rsidR="00A628A6" w:rsidRDefault="00A628A6" w:rsidP="00B80676">
      <w:pPr>
        <w:spacing w:after="0" w:line="240" w:lineRule="auto"/>
      </w:pPr>
    </w:p>
    <w:p w:rsidR="006E6BBD" w:rsidRPr="00463668" w:rsidRDefault="006E6BBD" w:rsidP="006E6BBD">
      <w:pPr>
        <w:spacing w:after="0" w:line="240" w:lineRule="auto"/>
        <w:rPr>
          <w:b/>
        </w:rPr>
      </w:pPr>
      <w:r w:rsidRPr="00463668">
        <w:rPr>
          <w:b/>
        </w:rPr>
        <w:t>How Apply: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Submit Request for Public Assistant Documentation to NYS DHSES.  Minimum documentation includes: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DUNS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By-Laws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ST-119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W-9 Form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PNP Questionnaire</w:t>
      </w:r>
    </w:p>
    <w:p w:rsidR="006E6BBD" w:rsidRDefault="006E6BBD" w:rsidP="00463668">
      <w:pPr>
        <w:pStyle w:val="ListParagraph"/>
        <w:numPr>
          <w:ilvl w:val="0"/>
          <w:numId w:val="5"/>
        </w:numPr>
        <w:spacing w:after="0" w:line="240" w:lineRule="auto"/>
      </w:pPr>
      <w:r>
        <w:t>Copy of Deed or Lease Agreement and insurance policy</w:t>
      </w:r>
    </w:p>
    <w:p w:rsidR="00696117" w:rsidRDefault="00696117" w:rsidP="00B80676">
      <w:pPr>
        <w:spacing w:after="0" w:line="240" w:lineRule="auto"/>
      </w:pPr>
    </w:p>
    <w:p w:rsidR="006E6BBD" w:rsidRDefault="006E6BBD" w:rsidP="00B80676">
      <w:pPr>
        <w:spacing w:after="0" w:line="240" w:lineRule="auto"/>
      </w:pPr>
      <w:r>
        <w:t>DHSES will establish a Grants Portal Account for the applicant.</w:t>
      </w:r>
    </w:p>
    <w:sectPr w:rsidR="006E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1EC"/>
    <w:multiLevelType w:val="hybridMultilevel"/>
    <w:tmpl w:val="51D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509"/>
    <w:multiLevelType w:val="hybridMultilevel"/>
    <w:tmpl w:val="5802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1106"/>
    <w:multiLevelType w:val="hybridMultilevel"/>
    <w:tmpl w:val="ACE0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587C"/>
    <w:multiLevelType w:val="hybridMultilevel"/>
    <w:tmpl w:val="AB4A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13C6D"/>
    <w:multiLevelType w:val="hybridMultilevel"/>
    <w:tmpl w:val="D42E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7"/>
    <w:rsid w:val="002171B7"/>
    <w:rsid w:val="00256EFD"/>
    <w:rsid w:val="003008FC"/>
    <w:rsid w:val="003762E1"/>
    <w:rsid w:val="00463668"/>
    <w:rsid w:val="00696117"/>
    <w:rsid w:val="006E6BBD"/>
    <w:rsid w:val="0075304F"/>
    <w:rsid w:val="00A628A6"/>
    <w:rsid w:val="00B80676"/>
    <w:rsid w:val="00E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AF92E-40E8-4192-83A8-6DFCD90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lNKNvu_uw&amp;feature=youtu.be" TargetMode="External"/><Relationship Id="rId5" Type="http://schemas.openxmlformats.org/officeDocument/2006/relationships/hyperlink" Target="mailto:Patricia.debboli@dhses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for Independent Living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Velia</dc:creator>
  <cp:keywords/>
  <dc:description/>
  <cp:lastModifiedBy>Christine Velia</cp:lastModifiedBy>
  <cp:revision>8</cp:revision>
  <dcterms:created xsi:type="dcterms:W3CDTF">2020-05-04T17:23:00Z</dcterms:created>
  <dcterms:modified xsi:type="dcterms:W3CDTF">2020-05-04T18:59:00Z</dcterms:modified>
</cp:coreProperties>
</file>